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8B" w:rsidRDefault="005B4D8B" w:rsidP="00BE3FA8">
      <w:pPr>
        <w:jc w:val="center"/>
        <w:rPr>
          <w:rFonts w:ascii="Times New Roman" w:eastAsia="Times New Roman" w:hAnsi="Times New Roman" w:cs="Times New Roman"/>
          <w:color w:val="861F41"/>
          <w:sz w:val="28"/>
          <w:szCs w:val="28"/>
        </w:rPr>
      </w:pPr>
      <w:r>
        <w:rPr>
          <w:noProof/>
        </w:rPr>
        <w:drawing>
          <wp:inline distT="0" distB="0" distL="0" distR="0" wp14:anchorId="290810FC" wp14:editId="3580514A">
            <wp:extent cx="3873500" cy="787400"/>
            <wp:effectExtent l="0" t="0" r="0" b="0"/>
            <wp:docPr id="1" name="Picture 1" descr="ADR-NL-Masthead">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ADR-NL-Masthead">
                      <a:hlinkClick r:id="rId5"/>
                    </pic:cNvP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73500" cy="787400"/>
                    </a:xfrm>
                    <a:prstGeom prst="rect">
                      <a:avLst/>
                    </a:prstGeom>
                    <a:noFill/>
                    <a:ln>
                      <a:noFill/>
                    </a:ln>
                  </pic:spPr>
                </pic:pic>
              </a:graphicData>
            </a:graphic>
          </wp:inline>
        </w:drawing>
      </w:r>
    </w:p>
    <w:p w:rsidR="004A491F" w:rsidRDefault="004A491F" w:rsidP="004A491F">
      <w:pPr>
        <w:jc w:val="center"/>
      </w:pPr>
      <w:r>
        <w:rPr>
          <w:rFonts w:ascii="Trebuchet MS" w:hAnsi="Trebuchet MS"/>
          <w:sz w:val="27"/>
          <w:szCs w:val="27"/>
        </w:rPr>
        <w:t>How Alternative Dispute Resolution can help your clients</w:t>
      </w:r>
    </w:p>
    <w:p w:rsidR="004A491F" w:rsidRPr="00C86C89" w:rsidRDefault="00311AA7">
      <w:pPr>
        <w:rPr>
          <w:rFonts w:ascii="Times New Roman" w:hAnsi="Times New Roman" w:cs="Times New Roman"/>
          <w:color w:val="333333"/>
          <w:shd w:val="clear" w:color="auto" w:fill="FAFAFA"/>
        </w:rPr>
      </w:pPr>
      <w:r w:rsidRPr="00C86C89">
        <w:rPr>
          <w:rFonts w:ascii="Times New Roman" w:hAnsi="Times New Roman" w:cs="Times New Roman"/>
          <w:color w:val="333333"/>
          <w:shd w:val="clear" w:color="auto" w:fill="FAFAFA"/>
        </w:rPr>
        <w:t>The vast majority of claims are resolved prior to the trial. Most of the expense related to a claim is expended during discovery, through the hiring of experts and at trial. Why not save time and money by shortening this pricey process? Choosing to mediate or arbitrate can save thousan</w:t>
      </w:r>
      <w:r w:rsidR="00474BA8" w:rsidRPr="00C86C89">
        <w:rPr>
          <w:rFonts w:ascii="Times New Roman" w:hAnsi="Times New Roman" w:cs="Times New Roman"/>
          <w:color w:val="333333"/>
          <w:shd w:val="clear" w:color="auto" w:fill="FAFAFA"/>
        </w:rPr>
        <w:t xml:space="preserve">ds of dollars as well as </w:t>
      </w:r>
      <w:r w:rsidR="005B4D8B">
        <w:rPr>
          <w:rFonts w:ascii="Times New Roman" w:hAnsi="Times New Roman" w:cs="Times New Roman"/>
          <w:color w:val="333333"/>
          <w:shd w:val="clear" w:color="auto" w:fill="FAFAFA"/>
        </w:rPr>
        <w:t>valuable time</w:t>
      </w:r>
      <w:r w:rsidR="00474BA8" w:rsidRPr="00C86C89">
        <w:rPr>
          <w:rFonts w:ascii="Times New Roman" w:hAnsi="Times New Roman" w:cs="Times New Roman"/>
          <w:color w:val="333333"/>
          <w:shd w:val="clear" w:color="auto" w:fill="FAFAFA"/>
        </w:rPr>
        <w:t xml:space="preserve">.  Your clients will receive a fair and equitable solution in a cost-effective manner.  If you are going to trial, using a Mock Jury ahead of time can provide you with priceless and valuable information. </w:t>
      </w:r>
      <w:r w:rsidR="00BE3FA8" w:rsidRPr="00C86C89">
        <w:rPr>
          <w:rFonts w:ascii="Times New Roman" w:hAnsi="Times New Roman" w:cs="Times New Roman"/>
          <w:color w:val="333333"/>
          <w:shd w:val="clear" w:color="auto" w:fill="FAFAFA"/>
        </w:rPr>
        <w:t>As a recent client said “</w:t>
      </w:r>
      <w:r w:rsidR="00BE3FA8" w:rsidRPr="00C86C89">
        <w:rPr>
          <w:rFonts w:ascii="Times New Roman" w:hAnsi="Times New Roman" w:cs="Times New Roman"/>
          <w:shd w:val="clear" w:color="auto" w:fill="FAFAFA"/>
        </w:rPr>
        <w:t xml:space="preserve">The </w:t>
      </w:r>
      <w:r w:rsidR="00BE3FA8" w:rsidRPr="00C86C89">
        <w:rPr>
          <w:rFonts w:ascii="Times New Roman" w:hAnsi="Times New Roman" w:cs="Times New Roman"/>
        </w:rPr>
        <w:t>mock trial was a critical element in analysis for resolution</w:t>
      </w:r>
      <w:r w:rsidR="00BE3FA8" w:rsidRPr="00C86C89">
        <w:rPr>
          <w:rFonts w:ascii="Times New Roman" w:hAnsi="Times New Roman" w:cs="Times New Roman"/>
          <w:color w:val="1F497D"/>
        </w:rPr>
        <w:t>”.</w:t>
      </w:r>
    </w:p>
    <w:tbl>
      <w:tblPr>
        <w:tblStyle w:val="TableGrid"/>
        <w:tblW w:w="0" w:type="auto"/>
        <w:tblLook w:val="04A0" w:firstRow="1" w:lastRow="0" w:firstColumn="1" w:lastColumn="0" w:noHBand="0" w:noVBand="1"/>
      </w:tblPr>
      <w:tblGrid>
        <w:gridCol w:w="4675"/>
        <w:gridCol w:w="4675"/>
      </w:tblGrid>
      <w:tr w:rsidR="00C02B4C" w:rsidRPr="00C86C89" w:rsidTr="00C02B4C">
        <w:tc>
          <w:tcPr>
            <w:tcW w:w="4675" w:type="dxa"/>
          </w:tcPr>
          <w:p w:rsidR="00C02B4C" w:rsidRPr="005B4D8B" w:rsidRDefault="00C02B4C" w:rsidP="00240ADD">
            <w:pPr>
              <w:jc w:val="center"/>
              <w:rPr>
                <w:rFonts w:ascii="Times New Roman" w:hAnsi="Times New Roman" w:cs="Times New Roman"/>
                <w:b/>
                <w:color w:val="333333"/>
                <w:sz w:val="24"/>
                <w:szCs w:val="24"/>
                <w:shd w:val="clear" w:color="auto" w:fill="FAFAFA"/>
              </w:rPr>
            </w:pPr>
            <w:r w:rsidRPr="005B4D8B">
              <w:rPr>
                <w:rFonts w:ascii="Times New Roman" w:hAnsi="Times New Roman" w:cs="Times New Roman"/>
                <w:b/>
                <w:color w:val="333333"/>
                <w:sz w:val="24"/>
                <w:szCs w:val="24"/>
                <w:shd w:val="clear" w:color="auto" w:fill="FAFAFA"/>
              </w:rPr>
              <w:t>Benefit</w:t>
            </w:r>
            <w:r w:rsidR="00240ADD" w:rsidRPr="005B4D8B">
              <w:rPr>
                <w:rFonts w:ascii="Times New Roman" w:hAnsi="Times New Roman" w:cs="Times New Roman"/>
                <w:b/>
                <w:color w:val="333333"/>
                <w:sz w:val="24"/>
                <w:szCs w:val="24"/>
                <w:shd w:val="clear" w:color="auto" w:fill="FAFAFA"/>
              </w:rPr>
              <w:t>s of</w:t>
            </w:r>
            <w:r w:rsidR="00BE3FA8" w:rsidRPr="005B4D8B">
              <w:rPr>
                <w:rFonts w:ascii="Times New Roman" w:hAnsi="Times New Roman" w:cs="Times New Roman"/>
                <w:b/>
                <w:color w:val="333333"/>
                <w:sz w:val="24"/>
                <w:szCs w:val="24"/>
                <w:shd w:val="clear" w:color="auto" w:fill="FAFAFA"/>
              </w:rPr>
              <w:t xml:space="preserve"> Mediations &amp; Arbitrations</w:t>
            </w:r>
          </w:p>
          <w:p w:rsidR="00C02B4C" w:rsidRPr="005B4D8B" w:rsidRDefault="00C02B4C" w:rsidP="00240ADD">
            <w:pPr>
              <w:jc w:val="center"/>
              <w:rPr>
                <w:rFonts w:ascii="Times New Roman" w:hAnsi="Times New Roman" w:cs="Times New Roman"/>
                <w:b/>
                <w:color w:val="333333"/>
                <w:sz w:val="24"/>
                <w:szCs w:val="24"/>
                <w:shd w:val="clear" w:color="auto" w:fill="FAFAFA"/>
              </w:rPr>
            </w:pPr>
          </w:p>
        </w:tc>
        <w:tc>
          <w:tcPr>
            <w:tcW w:w="4675" w:type="dxa"/>
          </w:tcPr>
          <w:p w:rsidR="00C02B4C" w:rsidRPr="005B4D8B" w:rsidRDefault="00240ADD" w:rsidP="00240ADD">
            <w:pPr>
              <w:jc w:val="center"/>
              <w:rPr>
                <w:rFonts w:ascii="Times New Roman" w:hAnsi="Times New Roman" w:cs="Times New Roman"/>
                <w:b/>
                <w:color w:val="333333"/>
                <w:sz w:val="24"/>
                <w:szCs w:val="24"/>
                <w:shd w:val="clear" w:color="auto" w:fill="FAFAFA"/>
              </w:rPr>
            </w:pPr>
            <w:r w:rsidRPr="005B4D8B">
              <w:rPr>
                <w:rFonts w:ascii="Times New Roman" w:hAnsi="Times New Roman" w:cs="Times New Roman"/>
                <w:b/>
                <w:color w:val="333333"/>
                <w:sz w:val="24"/>
                <w:szCs w:val="24"/>
                <w:shd w:val="clear" w:color="auto" w:fill="FAFAFA"/>
              </w:rPr>
              <w:t xml:space="preserve">Benefits of a </w:t>
            </w:r>
            <w:hyperlink r:id="rId7" w:history="1">
              <w:r w:rsidRPr="005B4D8B">
                <w:rPr>
                  <w:rFonts w:ascii="Times New Roman" w:hAnsi="Times New Roman" w:cs="Times New Roman"/>
                  <w:b/>
                  <w:color w:val="333333"/>
                  <w:sz w:val="24"/>
                  <w:szCs w:val="24"/>
                </w:rPr>
                <w:t>Mock Trial</w:t>
              </w:r>
            </w:hyperlink>
          </w:p>
        </w:tc>
      </w:tr>
      <w:tr w:rsidR="00C02B4C" w:rsidRPr="00C86C89" w:rsidTr="00C02B4C">
        <w:tc>
          <w:tcPr>
            <w:tcW w:w="4675" w:type="dxa"/>
          </w:tcPr>
          <w:p w:rsidR="00240ADD" w:rsidRPr="00C86C89" w:rsidRDefault="00C02B4C" w:rsidP="00240ADD">
            <w:pPr>
              <w:pStyle w:val="ListParagraph"/>
              <w:numPr>
                <w:ilvl w:val="0"/>
                <w:numId w:val="6"/>
              </w:numPr>
              <w:rPr>
                <w:rFonts w:ascii="Times New Roman" w:hAnsi="Times New Roman" w:cs="Times New Roman"/>
                <w:color w:val="333333"/>
                <w:shd w:val="clear" w:color="auto" w:fill="FAFAFA"/>
              </w:rPr>
            </w:pPr>
            <w:r w:rsidRPr="00C86C89">
              <w:rPr>
                <w:rFonts w:ascii="Times New Roman" w:hAnsi="Times New Roman" w:cs="Times New Roman"/>
                <w:color w:val="333333"/>
                <w:shd w:val="clear" w:color="auto" w:fill="FAFAFA"/>
              </w:rPr>
              <w:t xml:space="preserve">Cost </w:t>
            </w:r>
            <w:r w:rsidR="00DA460F" w:rsidRPr="00C86C89">
              <w:rPr>
                <w:rFonts w:ascii="Times New Roman" w:hAnsi="Times New Roman" w:cs="Times New Roman"/>
                <w:color w:val="333333"/>
                <w:shd w:val="clear" w:color="auto" w:fill="FAFAFA"/>
              </w:rPr>
              <w:t>Savings in legal</w:t>
            </w:r>
            <w:r w:rsidR="00240ADD" w:rsidRPr="00C86C89">
              <w:rPr>
                <w:rFonts w:ascii="Times New Roman" w:hAnsi="Times New Roman" w:cs="Times New Roman"/>
                <w:color w:val="333333"/>
                <w:shd w:val="clear" w:color="auto" w:fill="FAFAFA"/>
              </w:rPr>
              <w:t xml:space="preserve"> &amp; transaction costs</w:t>
            </w:r>
          </w:p>
        </w:tc>
        <w:tc>
          <w:tcPr>
            <w:tcW w:w="4675" w:type="dxa"/>
          </w:tcPr>
          <w:p w:rsidR="00C02B4C" w:rsidRPr="00C86C89" w:rsidRDefault="00240ADD" w:rsidP="00240ADD">
            <w:pPr>
              <w:pStyle w:val="ListParagraph"/>
              <w:numPr>
                <w:ilvl w:val="0"/>
                <w:numId w:val="6"/>
              </w:numPr>
              <w:rPr>
                <w:rFonts w:ascii="Times New Roman" w:hAnsi="Times New Roman" w:cs="Times New Roman"/>
                <w:color w:val="333333"/>
                <w:shd w:val="clear" w:color="auto" w:fill="FAFAFA"/>
              </w:rPr>
            </w:pPr>
            <w:r w:rsidRPr="00C86C89">
              <w:rPr>
                <w:rFonts w:ascii="Times New Roman" w:hAnsi="Times New Roman" w:cs="Times New Roman"/>
                <w:color w:val="333333"/>
                <w:shd w:val="clear" w:color="auto" w:fill="FAFAFA"/>
              </w:rPr>
              <w:t>Theme Validation</w:t>
            </w:r>
          </w:p>
        </w:tc>
      </w:tr>
      <w:tr w:rsidR="00C02B4C" w:rsidRPr="00C86C89" w:rsidTr="00C02B4C">
        <w:tc>
          <w:tcPr>
            <w:tcW w:w="4675" w:type="dxa"/>
          </w:tcPr>
          <w:p w:rsidR="00C02B4C" w:rsidRPr="00C86C89" w:rsidRDefault="00240ADD" w:rsidP="00240ADD">
            <w:pPr>
              <w:pStyle w:val="ListParagraph"/>
              <w:numPr>
                <w:ilvl w:val="0"/>
                <w:numId w:val="5"/>
              </w:numPr>
              <w:rPr>
                <w:rFonts w:ascii="Times New Roman" w:hAnsi="Times New Roman" w:cs="Times New Roman"/>
                <w:color w:val="333333"/>
                <w:shd w:val="clear" w:color="auto" w:fill="FAFAFA"/>
              </w:rPr>
            </w:pPr>
            <w:r w:rsidRPr="00C86C89">
              <w:rPr>
                <w:rFonts w:ascii="Times New Roman" w:hAnsi="Times New Roman" w:cs="Times New Roman"/>
                <w:color w:val="333333"/>
                <w:shd w:val="clear" w:color="auto" w:fill="FAFAFA"/>
              </w:rPr>
              <w:t>Carriers can reduce open claims inventory</w:t>
            </w:r>
          </w:p>
        </w:tc>
        <w:tc>
          <w:tcPr>
            <w:tcW w:w="4675" w:type="dxa"/>
          </w:tcPr>
          <w:p w:rsidR="00C02B4C" w:rsidRPr="00C86C89" w:rsidRDefault="00240ADD" w:rsidP="00240ADD">
            <w:pPr>
              <w:pStyle w:val="ListParagraph"/>
              <w:numPr>
                <w:ilvl w:val="0"/>
                <w:numId w:val="5"/>
              </w:numPr>
              <w:rPr>
                <w:rFonts w:ascii="Times New Roman" w:hAnsi="Times New Roman" w:cs="Times New Roman"/>
                <w:color w:val="333333"/>
                <w:shd w:val="clear" w:color="auto" w:fill="FAFAFA"/>
              </w:rPr>
            </w:pPr>
            <w:r w:rsidRPr="00C86C89">
              <w:rPr>
                <w:rFonts w:ascii="Times New Roman" w:hAnsi="Times New Roman" w:cs="Times New Roman"/>
                <w:color w:val="333333"/>
                <w:shd w:val="clear" w:color="auto" w:fill="FAFAFA"/>
              </w:rPr>
              <w:t>Juror views on what facts support your theme</w:t>
            </w:r>
          </w:p>
        </w:tc>
      </w:tr>
      <w:tr w:rsidR="00C02B4C" w:rsidRPr="00C86C89" w:rsidTr="00C02B4C">
        <w:tc>
          <w:tcPr>
            <w:tcW w:w="4675" w:type="dxa"/>
          </w:tcPr>
          <w:p w:rsidR="00C02B4C" w:rsidRPr="00C86C89" w:rsidRDefault="00240ADD" w:rsidP="00240ADD">
            <w:pPr>
              <w:pStyle w:val="ListParagraph"/>
              <w:numPr>
                <w:ilvl w:val="0"/>
                <w:numId w:val="5"/>
              </w:numPr>
              <w:rPr>
                <w:rFonts w:ascii="Times New Roman" w:hAnsi="Times New Roman" w:cs="Times New Roman"/>
                <w:color w:val="333333"/>
                <w:shd w:val="clear" w:color="auto" w:fill="FAFAFA"/>
              </w:rPr>
            </w:pPr>
            <w:r w:rsidRPr="00C86C89">
              <w:rPr>
                <w:rFonts w:ascii="Times New Roman" w:hAnsi="Times New Roman" w:cs="Times New Roman"/>
                <w:color w:val="333333"/>
                <w:shd w:val="clear" w:color="auto" w:fill="FAFAFA"/>
              </w:rPr>
              <w:t>Privacy: no press access to proceedings</w:t>
            </w:r>
          </w:p>
        </w:tc>
        <w:tc>
          <w:tcPr>
            <w:tcW w:w="4675" w:type="dxa"/>
          </w:tcPr>
          <w:p w:rsidR="00C02B4C" w:rsidRPr="00C86C89" w:rsidRDefault="00240ADD" w:rsidP="00240ADD">
            <w:pPr>
              <w:pStyle w:val="ListParagraph"/>
              <w:numPr>
                <w:ilvl w:val="0"/>
                <w:numId w:val="5"/>
              </w:numPr>
              <w:rPr>
                <w:rFonts w:ascii="Times New Roman" w:hAnsi="Times New Roman" w:cs="Times New Roman"/>
                <w:color w:val="333333"/>
                <w:shd w:val="clear" w:color="auto" w:fill="FAFAFA"/>
              </w:rPr>
            </w:pPr>
            <w:r w:rsidRPr="00C86C89">
              <w:rPr>
                <w:rFonts w:ascii="Times New Roman" w:hAnsi="Times New Roman" w:cs="Times New Roman"/>
                <w:color w:val="333333"/>
                <w:shd w:val="clear" w:color="auto" w:fill="FAFAFA"/>
              </w:rPr>
              <w:t>Test opening and closing statements</w:t>
            </w:r>
          </w:p>
        </w:tc>
      </w:tr>
      <w:tr w:rsidR="00C02B4C" w:rsidRPr="00C86C89" w:rsidTr="00C02B4C">
        <w:tc>
          <w:tcPr>
            <w:tcW w:w="4675" w:type="dxa"/>
          </w:tcPr>
          <w:p w:rsidR="00C02B4C" w:rsidRPr="00C86C89" w:rsidRDefault="00240ADD" w:rsidP="00240ADD">
            <w:pPr>
              <w:pStyle w:val="ListParagraph"/>
              <w:numPr>
                <w:ilvl w:val="0"/>
                <w:numId w:val="5"/>
              </w:numPr>
              <w:rPr>
                <w:rFonts w:ascii="Times New Roman" w:hAnsi="Times New Roman" w:cs="Times New Roman"/>
                <w:color w:val="333333"/>
                <w:shd w:val="clear" w:color="auto" w:fill="FAFAFA"/>
              </w:rPr>
            </w:pPr>
            <w:r w:rsidRPr="00C86C89">
              <w:rPr>
                <w:rFonts w:ascii="Times New Roman" w:hAnsi="Times New Roman" w:cs="Times New Roman"/>
                <w:color w:val="333333"/>
                <w:shd w:val="clear" w:color="auto" w:fill="FAFAFA"/>
              </w:rPr>
              <w:t>Control: parties decide type of proceeding, neutral, time and place</w:t>
            </w:r>
          </w:p>
        </w:tc>
        <w:tc>
          <w:tcPr>
            <w:tcW w:w="4675" w:type="dxa"/>
          </w:tcPr>
          <w:p w:rsidR="00C02B4C" w:rsidRPr="00C86C89" w:rsidRDefault="00240ADD" w:rsidP="00240ADD">
            <w:pPr>
              <w:pStyle w:val="ListParagraph"/>
              <w:numPr>
                <w:ilvl w:val="0"/>
                <w:numId w:val="5"/>
              </w:numPr>
              <w:rPr>
                <w:rFonts w:ascii="Times New Roman" w:hAnsi="Times New Roman" w:cs="Times New Roman"/>
                <w:color w:val="333333"/>
                <w:shd w:val="clear" w:color="auto" w:fill="FAFAFA"/>
              </w:rPr>
            </w:pPr>
            <w:r w:rsidRPr="00C86C89">
              <w:rPr>
                <w:rFonts w:ascii="Times New Roman" w:hAnsi="Times New Roman" w:cs="Times New Roman"/>
                <w:color w:val="333333"/>
                <w:shd w:val="clear" w:color="auto" w:fill="FAFAFA"/>
              </w:rPr>
              <w:t>Prepare client and witnesses</w:t>
            </w:r>
          </w:p>
        </w:tc>
      </w:tr>
      <w:tr w:rsidR="00C02B4C" w:rsidRPr="00C86C89" w:rsidTr="00C02B4C">
        <w:tc>
          <w:tcPr>
            <w:tcW w:w="4675" w:type="dxa"/>
          </w:tcPr>
          <w:p w:rsidR="00C02B4C" w:rsidRPr="00C86C89" w:rsidRDefault="00724F8D" w:rsidP="00240ADD">
            <w:pPr>
              <w:pStyle w:val="ListParagraph"/>
              <w:numPr>
                <w:ilvl w:val="0"/>
                <w:numId w:val="5"/>
              </w:numPr>
              <w:rPr>
                <w:rFonts w:ascii="Times New Roman" w:hAnsi="Times New Roman" w:cs="Times New Roman"/>
                <w:color w:val="333333"/>
                <w:shd w:val="clear" w:color="auto" w:fill="FAFAFA"/>
              </w:rPr>
            </w:pPr>
            <w:r w:rsidRPr="00C86C89">
              <w:rPr>
                <w:rFonts w:ascii="Times New Roman" w:hAnsi="Times New Roman" w:cs="Times New Roman"/>
                <w:color w:val="333333"/>
                <w:shd w:val="clear" w:color="auto" w:fill="FAFAFA"/>
              </w:rPr>
              <w:t>Settlement days can resolve many disputes in one day</w:t>
            </w:r>
          </w:p>
        </w:tc>
        <w:tc>
          <w:tcPr>
            <w:tcW w:w="4675" w:type="dxa"/>
          </w:tcPr>
          <w:p w:rsidR="00C02B4C" w:rsidRPr="00C86C89" w:rsidRDefault="005B4D8B" w:rsidP="005B4D8B">
            <w:pPr>
              <w:pStyle w:val="ListParagraph"/>
              <w:numPr>
                <w:ilvl w:val="0"/>
                <w:numId w:val="5"/>
              </w:numPr>
              <w:rPr>
                <w:rFonts w:ascii="Times New Roman" w:hAnsi="Times New Roman" w:cs="Times New Roman"/>
                <w:color w:val="333333"/>
                <w:shd w:val="clear" w:color="auto" w:fill="FAFAFA"/>
              </w:rPr>
            </w:pPr>
            <w:r>
              <w:rPr>
                <w:rFonts w:ascii="Times New Roman" w:hAnsi="Times New Roman" w:cs="Times New Roman"/>
                <w:color w:val="333333"/>
                <w:shd w:val="clear" w:color="auto" w:fill="FAFAFA"/>
              </w:rPr>
              <w:t>Gain an e</w:t>
            </w:r>
            <w:r w:rsidR="00240ADD" w:rsidRPr="00C86C89">
              <w:rPr>
                <w:rFonts w:ascii="Times New Roman" w:hAnsi="Times New Roman" w:cs="Times New Roman"/>
                <w:color w:val="333333"/>
                <w:shd w:val="clear" w:color="auto" w:fill="FAFAFA"/>
              </w:rPr>
              <w:t>stimate of verdict range</w:t>
            </w:r>
          </w:p>
        </w:tc>
      </w:tr>
    </w:tbl>
    <w:p w:rsidR="004A491F" w:rsidRDefault="004A491F" w:rsidP="004A491F">
      <w:pPr>
        <w:spacing w:before="300" w:after="150"/>
      </w:pPr>
      <w:r>
        <w:rPr>
          <w:rFonts w:ascii="Trebuchet MS" w:hAnsi="Trebuchet MS"/>
        </w:rPr>
        <w:t xml:space="preserve">When you choose </w:t>
      </w:r>
      <w:hyperlink r:id="rId8" w:history="1">
        <w:r>
          <w:rPr>
            <w:rStyle w:val="Hyperlink"/>
            <w:rFonts w:ascii="Trebuchet MS" w:hAnsi="Trebuchet MS"/>
          </w:rPr>
          <w:t>ADR Options,</w:t>
        </w:r>
      </w:hyperlink>
      <w:r>
        <w:rPr>
          <w:rFonts w:ascii="Trebuchet MS" w:hAnsi="Trebuchet MS"/>
        </w:rPr>
        <w:t xml:space="preserve"> you gain even more.  </w:t>
      </w:r>
    </w:p>
    <w:p w:rsidR="004A491F" w:rsidRDefault="004A491F" w:rsidP="004A491F">
      <w:pPr>
        <w:numPr>
          <w:ilvl w:val="0"/>
          <w:numId w:val="9"/>
        </w:numPr>
        <w:spacing w:before="300" w:after="150" w:line="240" w:lineRule="auto"/>
        <w:rPr>
          <w:rFonts w:eastAsia="Times New Roman"/>
        </w:rPr>
      </w:pPr>
      <w:r>
        <w:rPr>
          <w:rFonts w:ascii="Trebuchet MS" w:eastAsia="Times New Roman" w:hAnsi="Trebuchet MS"/>
          <w:b/>
          <w:bCs/>
        </w:rPr>
        <w:t xml:space="preserve">Highest Quality Neutrals: </w:t>
      </w:r>
      <w:r>
        <w:rPr>
          <w:rFonts w:ascii="Trebuchet MS" w:eastAsia="Times New Roman" w:hAnsi="Trebuchet MS"/>
        </w:rPr>
        <w:t xml:space="preserve">Our </w:t>
      </w:r>
      <w:hyperlink r:id="rId9" w:history="1">
        <w:r>
          <w:rPr>
            <w:rStyle w:val="Hyperlink"/>
            <w:rFonts w:ascii="Trebuchet MS" w:hAnsi="Trebuchet MS"/>
          </w:rPr>
          <w:t>neutrals</w:t>
        </w:r>
      </w:hyperlink>
      <w:r>
        <w:rPr>
          <w:rFonts w:ascii="Trebuchet MS" w:eastAsia="Times New Roman" w:hAnsi="Trebuchet MS"/>
        </w:rPr>
        <w:t xml:space="preserve"> are retired judges or accomplished attorneys.  They have been voted Best Mediator, Best Arbitrator, </w:t>
      </w:r>
      <w:proofErr w:type="gramStart"/>
      <w:r>
        <w:rPr>
          <w:rFonts w:ascii="Trebuchet MS" w:eastAsia="Times New Roman" w:hAnsi="Trebuchet MS"/>
        </w:rPr>
        <w:t>Lawyer</w:t>
      </w:r>
      <w:proofErr w:type="gramEnd"/>
      <w:r>
        <w:rPr>
          <w:rFonts w:ascii="Trebuchet MS" w:eastAsia="Times New Roman" w:hAnsi="Trebuchet MS"/>
        </w:rPr>
        <w:t xml:space="preserve"> of the Year, Best Lawyer and Super Lawyer. </w:t>
      </w:r>
      <w:r>
        <w:rPr>
          <w:rFonts w:eastAsia="Times New Roman"/>
        </w:rPr>
        <w:t xml:space="preserve"> </w:t>
      </w:r>
    </w:p>
    <w:p w:rsidR="004A491F" w:rsidRDefault="004A491F" w:rsidP="004A491F">
      <w:pPr>
        <w:numPr>
          <w:ilvl w:val="0"/>
          <w:numId w:val="9"/>
        </w:numPr>
        <w:spacing w:before="300" w:after="150" w:line="240" w:lineRule="auto"/>
        <w:rPr>
          <w:rFonts w:eastAsia="Times New Roman"/>
        </w:rPr>
      </w:pPr>
      <w:r>
        <w:rPr>
          <w:rFonts w:ascii="Trebuchet MS" w:eastAsia="Times New Roman" w:hAnsi="Trebuchet MS"/>
          <w:b/>
          <w:bCs/>
        </w:rPr>
        <w:t>Customer Service and Efficiency:</w:t>
      </w:r>
      <w:r>
        <w:rPr>
          <w:rFonts w:ascii="Trebuchet MS" w:eastAsia="Times New Roman" w:hAnsi="Trebuchet MS"/>
        </w:rPr>
        <w:t xml:space="preserve"> Our staff will schedule your case the same day we receive all the information. You will choose the neutral, date, time and location most convenient for you. Our clients consistently give our customer service the highest rating.</w:t>
      </w:r>
      <w:bookmarkStart w:id="0" w:name="_GoBack"/>
      <w:bookmarkEnd w:id="0"/>
    </w:p>
    <w:p w:rsidR="004A491F" w:rsidRDefault="004A491F" w:rsidP="004A491F">
      <w:pPr>
        <w:numPr>
          <w:ilvl w:val="0"/>
          <w:numId w:val="9"/>
        </w:numPr>
        <w:spacing w:before="300" w:after="150" w:line="240" w:lineRule="auto"/>
        <w:rPr>
          <w:rFonts w:eastAsia="Times New Roman"/>
        </w:rPr>
      </w:pPr>
      <w:r>
        <w:rPr>
          <w:rFonts w:ascii="Trebuchet MS" w:eastAsia="Times New Roman" w:hAnsi="Trebuchet MS"/>
          <w:b/>
          <w:bCs/>
        </w:rPr>
        <w:t>Ease of Scheduling:</w:t>
      </w:r>
      <w:r>
        <w:rPr>
          <w:rFonts w:ascii="Trebuchet MS" w:eastAsia="Times New Roman" w:hAnsi="Trebuchet MS"/>
        </w:rPr>
        <w:t xml:space="preserve"> </w:t>
      </w:r>
      <w:hyperlink r:id="rId10" w:history="1">
        <w:r>
          <w:rPr>
            <w:rStyle w:val="Hyperlink"/>
            <w:rFonts w:ascii="Trebuchet MS" w:hAnsi="Trebuchet MS"/>
          </w:rPr>
          <w:t>Submit a case</w:t>
        </w:r>
      </w:hyperlink>
      <w:r>
        <w:rPr>
          <w:rFonts w:ascii="Trebuchet MS" w:eastAsia="Times New Roman" w:hAnsi="Trebuchet MS"/>
        </w:rPr>
        <w:t xml:space="preserve"> online or by phone 215-564-1775</w:t>
      </w:r>
      <w:r>
        <w:rPr>
          <w:rFonts w:eastAsia="Times New Roman"/>
        </w:rPr>
        <w:t xml:space="preserve"> </w:t>
      </w:r>
    </w:p>
    <w:p w:rsidR="004A491F" w:rsidRDefault="004A491F" w:rsidP="004A491F">
      <w:pPr>
        <w:numPr>
          <w:ilvl w:val="0"/>
          <w:numId w:val="9"/>
        </w:numPr>
        <w:spacing w:before="300" w:after="150" w:line="240" w:lineRule="auto"/>
        <w:rPr>
          <w:rFonts w:eastAsia="Times New Roman"/>
        </w:rPr>
      </w:pPr>
      <w:r>
        <w:rPr>
          <w:rFonts w:ascii="Trebuchet MS" w:eastAsia="Times New Roman" w:hAnsi="Trebuchet MS"/>
          <w:b/>
          <w:bCs/>
        </w:rPr>
        <w:t>Fair Pricing and No Administrative Fees:</w:t>
      </w:r>
      <w:r>
        <w:rPr>
          <w:rFonts w:ascii="Trebuchet MS" w:eastAsia="Times New Roman" w:hAnsi="Trebuchet MS"/>
        </w:rPr>
        <w:t xml:space="preserve"> You only pay for the time used, not the time reserved </w:t>
      </w:r>
    </w:p>
    <w:p w:rsidR="004A491F" w:rsidRDefault="004A491F" w:rsidP="004A491F">
      <w:pPr>
        <w:numPr>
          <w:ilvl w:val="0"/>
          <w:numId w:val="9"/>
        </w:numPr>
        <w:spacing w:before="300" w:after="150" w:line="240" w:lineRule="auto"/>
        <w:rPr>
          <w:rFonts w:eastAsia="Times New Roman"/>
        </w:rPr>
      </w:pPr>
      <w:r>
        <w:rPr>
          <w:rFonts w:ascii="Trebuchet MS" w:eastAsia="Times New Roman" w:hAnsi="Trebuchet MS"/>
          <w:b/>
          <w:bCs/>
        </w:rPr>
        <w:t>Competitive Rates:</w:t>
      </w:r>
      <w:r>
        <w:rPr>
          <w:rFonts w:ascii="Trebuchet MS" w:eastAsia="Times New Roman" w:hAnsi="Trebuchet MS"/>
        </w:rPr>
        <w:t xml:space="preserve"> We have adjusted our fee schedule to suit different geographic regions</w:t>
      </w:r>
      <w:r>
        <w:rPr>
          <w:rFonts w:eastAsia="Times New Roman"/>
        </w:rPr>
        <w:t xml:space="preserve"> </w:t>
      </w:r>
    </w:p>
    <w:p w:rsidR="004A491F" w:rsidRDefault="004A491F" w:rsidP="004A491F">
      <w:pPr>
        <w:numPr>
          <w:ilvl w:val="0"/>
          <w:numId w:val="9"/>
        </w:numPr>
        <w:spacing w:before="300" w:after="150" w:line="240" w:lineRule="auto"/>
        <w:rPr>
          <w:rFonts w:eastAsia="Times New Roman"/>
        </w:rPr>
      </w:pPr>
      <w:r>
        <w:rPr>
          <w:rFonts w:ascii="Trebuchet MS" w:eastAsia="Times New Roman" w:hAnsi="Trebuchet MS"/>
          <w:b/>
          <w:bCs/>
        </w:rPr>
        <w:t>Efficiency:</w:t>
      </w:r>
      <w:r>
        <w:rPr>
          <w:rFonts w:ascii="Trebuchet MS" w:eastAsia="Times New Roman" w:hAnsi="Trebuchet MS"/>
        </w:rPr>
        <w:t xml:space="preserve"> Our staff will schedule your case the same day we receive all the information.   You will choose the neutral, date, time and location most convenient for you.</w:t>
      </w:r>
      <w:r>
        <w:rPr>
          <w:rFonts w:eastAsia="Times New Roman"/>
        </w:rPr>
        <w:t xml:space="preserve"> </w:t>
      </w:r>
    </w:p>
    <w:sectPr w:rsidR="004A4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EE8"/>
    <w:multiLevelType w:val="hybridMultilevel"/>
    <w:tmpl w:val="51BC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36D48"/>
    <w:multiLevelType w:val="hybridMultilevel"/>
    <w:tmpl w:val="F90E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762C0"/>
    <w:multiLevelType w:val="hybridMultilevel"/>
    <w:tmpl w:val="A56C927A"/>
    <w:lvl w:ilvl="0" w:tplc="C4A69110">
      <w:start w:val="1"/>
      <w:numFmt w:val="decimal"/>
      <w:lvlText w:val="%1."/>
      <w:lvlJc w:val="left"/>
      <w:pPr>
        <w:ind w:left="720" w:hanging="360"/>
      </w:pPr>
      <w:rPr>
        <w:rFonts w:asciiTheme="minorHAnsi" w:eastAsia="Times New Roman" w:hAnsiTheme="minorHAnsi" w:cs="Times New Roman"/>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A25A3"/>
    <w:multiLevelType w:val="hybridMultilevel"/>
    <w:tmpl w:val="12CA174A"/>
    <w:lvl w:ilvl="0" w:tplc="53266B70">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6A68E4"/>
    <w:multiLevelType w:val="hybridMultilevel"/>
    <w:tmpl w:val="049EA39A"/>
    <w:lvl w:ilvl="0" w:tplc="53266B70">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F3078"/>
    <w:multiLevelType w:val="multilevel"/>
    <w:tmpl w:val="70282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8C068C"/>
    <w:multiLevelType w:val="hybridMultilevel"/>
    <w:tmpl w:val="9560206C"/>
    <w:lvl w:ilvl="0" w:tplc="53266B70">
      <w:start w:val="1"/>
      <w:numFmt w:val="bullet"/>
      <w:lvlText w:val=""/>
      <w:lvlJc w:val="left"/>
      <w:pPr>
        <w:ind w:left="720" w:hanging="360"/>
      </w:pPr>
      <w:rPr>
        <w:rFonts w:ascii="Symbol" w:eastAsiaTheme="minorHAnsi" w:hAnsi="Symbol" w:cs="Tahoma"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A578A"/>
    <w:multiLevelType w:val="hybridMultilevel"/>
    <w:tmpl w:val="77EAB9CC"/>
    <w:lvl w:ilvl="0" w:tplc="53266B70">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02739C"/>
    <w:multiLevelType w:val="multilevel"/>
    <w:tmpl w:val="01C08E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8F11691"/>
    <w:multiLevelType w:val="hybridMultilevel"/>
    <w:tmpl w:val="AE50E8D0"/>
    <w:lvl w:ilvl="0" w:tplc="2B1E6A1C">
      <w:start w:val="1"/>
      <w:numFmt w:val="bullet"/>
      <w:lvlText w:val=""/>
      <w:lvlJc w:val="left"/>
      <w:pPr>
        <w:ind w:left="720" w:hanging="360"/>
      </w:pPr>
      <w:rPr>
        <w:rFonts w:ascii="Symbol" w:eastAsiaTheme="minorHAnsi" w:hAnsi="Symbol" w:cs="Tahoma"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7"/>
  </w:num>
  <w:num w:numId="6">
    <w:abstractNumId w:val="4"/>
  </w:num>
  <w:num w:numId="7">
    <w:abstractNumId w:val="2"/>
  </w:num>
  <w:num w:numId="8">
    <w:abstractNumId w:val="6"/>
  </w:num>
  <w:num w:numId="9">
    <w:abstractNumId w:val="9"/>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D5"/>
    <w:rsid w:val="0007203F"/>
    <w:rsid w:val="0012200D"/>
    <w:rsid w:val="00231C92"/>
    <w:rsid w:val="00240ADD"/>
    <w:rsid w:val="00311AA7"/>
    <w:rsid w:val="00474BA8"/>
    <w:rsid w:val="004A491F"/>
    <w:rsid w:val="004F563C"/>
    <w:rsid w:val="005B4B50"/>
    <w:rsid w:val="005B4D8B"/>
    <w:rsid w:val="00660EAB"/>
    <w:rsid w:val="00724F8D"/>
    <w:rsid w:val="00BE3FA8"/>
    <w:rsid w:val="00BF79D0"/>
    <w:rsid w:val="00C02B4C"/>
    <w:rsid w:val="00C86C89"/>
    <w:rsid w:val="00DA460F"/>
    <w:rsid w:val="00DD02E7"/>
    <w:rsid w:val="00E4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2EA3E-A119-43A7-A446-7B3C2D64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BA8"/>
  </w:style>
  <w:style w:type="paragraph" w:styleId="Heading3">
    <w:name w:val="heading 3"/>
    <w:basedOn w:val="Normal"/>
    <w:link w:val="Heading3Char"/>
    <w:uiPriority w:val="9"/>
    <w:qFormat/>
    <w:rsid w:val="00E41C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1CD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41C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1CD5"/>
    <w:rPr>
      <w:b/>
      <w:bCs/>
    </w:rPr>
  </w:style>
  <w:style w:type="character" w:styleId="Hyperlink">
    <w:name w:val="Hyperlink"/>
    <w:basedOn w:val="DefaultParagraphFont"/>
    <w:uiPriority w:val="99"/>
    <w:unhideWhenUsed/>
    <w:rsid w:val="00474BA8"/>
    <w:rPr>
      <w:color w:val="0563C1" w:themeColor="hyperlink"/>
      <w:u w:val="single"/>
    </w:rPr>
  </w:style>
  <w:style w:type="paragraph" w:styleId="ListParagraph">
    <w:name w:val="List Paragraph"/>
    <w:basedOn w:val="Normal"/>
    <w:uiPriority w:val="34"/>
    <w:qFormat/>
    <w:rsid w:val="00474BA8"/>
    <w:pPr>
      <w:ind w:left="720"/>
      <w:contextualSpacing/>
    </w:pPr>
  </w:style>
  <w:style w:type="table" w:styleId="TableGrid">
    <w:name w:val="Table Grid"/>
    <w:basedOn w:val="TableNormal"/>
    <w:uiPriority w:val="39"/>
    <w:rsid w:val="00C02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0ADD"/>
    <w:rPr>
      <w:color w:val="808080"/>
    </w:rPr>
  </w:style>
  <w:style w:type="character" w:styleId="FollowedHyperlink">
    <w:name w:val="FollowedHyperlink"/>
    <w:basedOn w:val="DefaultParagraphFont"/>
    <w:uiPriority w:val="99"/>
    <w:semiHidden/>
    <w:unhideWhenUsed/>
    <w:rsid w:val="00BE3F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options.com" TargetMode="External"/><Relationship Id="rId3" Type="http://schemas.openxmlformats.org/officeDocument/2006/relationships/settings" Target="settings.xml"/><Relationship Id="rId7" Type="http://schemas.openxmlformats.org/officeDocument/2006/relationships/hyperlink" Target="http://adroptions.com/mock-tri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hyperlink" Target="http://www.adroptions.com/" TargetMode="External"/><Relationship Id="rId10" Type="http://schemas.openxmlformats.org/officeDocument/2006/relationships/hyperlink" Target="http://adroptions.com/submit-case/" TargetMode="External"/><Relationship Id="rId4" Type="http://schemas.openxmlformats.org/officeDocument/2006/relationships/webSettings" Target="webSettings.xml"/><Relationship Id="rId9" Type="http://schemas.openxmlformats.org/officeDocument/2006/relationships/hyperlink" Target="http://www.adroptions.com/neu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T. Carney</dc:creator>
  <cp:keywords/>
  <dc:description/>
  <cp:lastModifiedBy>Maggy T. Carney</cp:lastModifiedBy>
  <cp:revision>2</cp:revision>
  <dcterms:created xsi:type="dcterms:W3CDTF">2015-06-10T16:45:00Z</dcterms:created>
  <dcterms:modified xsi:type="dcterms:W3CDTF">2015-06-10T16:45:00Z</dcterms:modified>
</cp:coreProperties>
</file>